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31177" w14:textId="5ACDCA0D" w:rsidR="00C542F9" w:rsidRPr="00C542F9" w:rsidRDefault="00C542F9" w:rsidP="00C542F9">
      <w:pPr>
        <w:spacing w:before="0"/>
        <w:ind w:left="0" w:firstLine="0"/>
        <w:rPr>
          <w:b/>
          <w:bCs/>
          <w:sz w:val="24"/>
          <w:szCs w:val="22"/>
        </w:rPr>
      </w:pPr>
      <w:r w:rsidRPr="00C542F9">
        <w:rPr>
          <w:b/>
          <w:bCs/>
          <w:sz w:val="24"/>
          <w:szCs w:val="22"/>
        </w:rPr>
        <w:t>Better Housing, By Design</w:t>
      </w:r>
    </w:p>
    <w:p w14:paraId="00E136AC" w14:textId="77777777" w:rsidR="00277CD4" w:rsidRPr="00C542F9" w:rsidRDefault="00C542F9" w:rsidP="00277CD4">
      <w:pPr>
        <w:spacing w:before="0"/>
        <w:ind w:left="0" w:firstLine="0"/>
        <w:rPr>
          <w:rFonts w:cs="Arial"/>
          <w:szCs w:val="22"/>
        </w:rPr>
      </w:pPr>
      <w:r w:rsidRPr="00C542F9">
        <w:t>Below is a collection of links and resources shared by presenters and participants in the webinar chat</w:t>
      </w:r>
      <w:r>
        <w:t xml:space="preserve">. </w:t>
      </w:r>
      <w:r w:rsidR="00277CD4" w:rsidRPr="00C542F9">
        <w:rPr>
          <w:rFonts w:cs="Arial"/>
          <w:szCs w:val="22"/>
        </w:rPr>
        <w:t xml:space="preserve">If anyone would like to find out more about the Centre for Universal Design Australia or sign up for the mailing list, please visit: </w:t>
      </w:r>
      <w:hyperlink r:id="rId7" w:tgtFrame="_blank" w:tooltip="https://disability.unimelb.edu.au/centre-for-universal-design-australia" w:history="1">
        <w:r w:rsidR="00277CD4" w:rsidRPr="00C542F9">
          <w:rPr>
            <w:rStyle w:val="Hyperlink"/>
            <w:rFonts w:cs="Arial"/>
            <w:szCs w:val="22"/>
          </w:rPr>
          <w:t>https://disability.unimelb.edu.au/centre-for-universal-design-australia</w:t>
        </w:r>
      </w:hyperlink>
    </w:p>
    <w:p w14:paraId="14FE13C4" w14:textId="5AFB0587" w:rsidR="00C542F9" w:rsidRDefault="00C542F9" w:rsidP="00C542F9">
      <w:pPr>
        <w:spacing w:before="0"/>
        <w:ind w:left="0" w:firstLine="0"/>
      </w:pPr>
    </w:p>
    <w:p w14:paraId="086FD354" w14:textId="6BEF45CF" w:rsidR="00C542F9" w:rsidRPr="00C542F9" w:rsidRDefault="00C542F9" w:rsidP="00C542F9">
      <w:pPr>
        <w:rPr>
          <w:rFonts w:cs="Arial"/>
          <w:szCs w:val="22"/>
          <w:lang w:val="en-AU" w:eastAsia="en-GB"/>
        </w:rPr>
      </w:pPr>
      <w:r w:rsidRPr="00C542F9">
        <w:rPr>
          <w:rFonts w:cs="Arial"/>
          <w:szCs w:val="22"/>
          <w:lang w:val="en-AU" w:eastAsia="en-GB"/>
        </w:rPr>
        <w:t>Improving housing outcomes for people with disability: Policy and practice initiatives</w:t>
      </w:r>
      <w:r w:rsidRPr="00C542F9">
        <w:rPr>
          <w:rFonts w:cs="Arial"/>
          <w:szCs w:val="22"/>
          <w:lang w:val="en-AU" w:eastAsia="en-GB"/>
        </w:rPr>
        <w:t xml:space="preserve"> </w:t>
      </w:r>
    </w:p>
    <w:p w14:paraId="7D295272" w14:textId="446A8769" w:rsidR="00661DE4" w:rsidRPr="00C542F9" w:rsidRDefault="00C542F9" w:rsidP="00C542F9">
      <w:pPr>
        <w:pStyle w:val="ListParagraph"/>
        <w:numPr>
          <w:ilvl w:val="0"/>
          <w:numId w:val="2"/>
        </w:numPr>
        <w:spacing w:before="0"/>
        <w:rPr>
          <w:rFonts w:cs="Arial"/>
          <w:szCs w:val="22"/>
        </w:rPr>
      </w:pPr>
      <w:hyperlink r:id="rId8" w:history="1">
        <w:r w:rsidR="00336444" w:rsidRPr="00C542F9">
          <w:rPr>
            <w:rStyle w:val="Hyperlink"/>
            <w:rFonts w:cs="Arial"/>
            <w:szCs w:val="22"/>
          </w:rPr>
          <w:t>AHURI report</w:t>
        </w:r>
      </w:hyperlink>
    </w:p>
    <w:p w14:paraId="3BE7C535" w14:textId="5A930E63" w:rsidR="00C542F9" w:rsidRPr="00C542F9" w:rsidRDefault="00C542F9" w:rsidP="00C542F9">
      <w:pPr>
        <w:ind w:left="0" w:firstLine="0"/>
        <w:rPr>
          <w:rFonts w:cs="Arial"/>
          <w:szCs w:val="22"/>
          <w:lang w:val="en-AU" w:eastAsia="en-GB"/>
        </w:rPr>
      </w:pPr>
      <w:r w:rsidRPr="00C542F9">
        <w:rPr>
          <w:rFonts w:cs="Arial"/>
          <w:szCs w:val="22"/>
          <w:lang w:val="en-AU" w:eastAsia="en-GB"/>
        </w:rPr>
        <w:t>The Australian Assistive Technology Equity Studies: Improving access to assistive</w:t>
      </w:r>
      <w:r w:rsidRPr="00C542F9">
        <w:rPr>
          <w:rFonts w:cs="Arial"/>
          <w:szCs w:val="22"/>
          <w:lang w:val="en-AU" w:eastAsia="en-GB"/>
        </w:rPr>
        <w:t xml:space="preserve"> </w:t>
      </w:r>
      <w:r w:rsidRPr="00C542F9">
        <w:rPr>
          <w:rFonts w:cs="Arial"/>
          <w:szCs w:val="22"/>
          <w:lang w:val="en-AU" w:eastAsia="en-GB"/>
        </w:rPr>
        <w:t>technology for people with disability who are not eligible for the NDIS</w:t>
      </w:r>
    </w:p>
    <w:p w14:paraId="251C4A4F" w14:textId="5D30DE84" w:rsidR="00336444" w:rsidRPr="00C542F9" w:rsidRDefault="00C542F9" w:rsidP="00C542F9">
      <w:pPr>
        <w:pStyle w:val="ListParagraph"/>
        <w:numPr>
          <w:ilvl w:val="0"/>
          <w:numId w:val="2"/>
        </w:numPr>
        <w:spacing w:before="0"/>
        <w:rPr>
          <w:rFonts w:cs="Arial"/>
          <w:szCs w:val="22"/>
        </w:rPr>
      </w:pPr>
      <w:hyperlink r:id="rId9" w:history="1">
        <w:r w:rsidR="00336444" w:rsidRPr="00C542F9">
          <w:rPr>
            <w:rStyle w:val="Hyperlink"/>
            <w:rFonts w:cs="Arial"/>
            <w:szCs w:val="22"/>
          </w:rPr>
          <w:t>AT equity studies</w:t>
        </w:r>
      </w:hyperlink>
      <w:r w:rsidRPr="00C542F9">
        <w:rPr>
          <w:rFonts w:cs="Arial"/>
          <w:szCs w:val="22"/>
        </w:rPr>
        <w:t xml:space="preserve"> </w:t>
      </w:r>
    </w:p>
    <w:p w14:paraId="0AD55283" w14:textId="77777777" w:rsidR="00C542F9" w:rsidRPr="00C542F9" w:rsidRDefault="00C542F9" w:rsidP="00C542F9">
      <w:pPr>
        <w:ind w:left="0" w:firstLine="0"/>
        <w:rPr>
          <w:rFonts w:cs="Arial"/>
          <w:szCs w:val="22"/>
          <w:lang w:val="en-AU" w:eastAsia="en-GB"/>
        </w:rPr>
      </w:pPr>
      <w:r w:rsidRPr="00C542F9">
        <w:rPr>
          <w:rFonts w:cs="Arial"/>
          <w:szCs w:val="22"/>
          <w:lang w:val="en-AU" w:eastAsia="en-GB"/>
        </w:rPr>
        <w:t>It is time for nationally equitable access to assistive technology and home modifications in Australia: An equity benchmarking study</w:t>
      </w:r>
    </w:p>
    <w:p w14:paraId="051DDD92" w14:textId="5BA17F10" w:rsidR="00336444" w:rsidRPr="00C542F9" w:rsidRDefault="00C542F9" w:rsidP="00C542F9">
      <w:pPr>
        <w:pStyle w:val="ListParagraph"/>
        <w:numPr>
          <w:ilvl w:val="0"/>
          <w:numId w:val="2"/>
        </w:numPr>
        <w:spacing w:before="0"/>
        <w:rPr>
          <w:rFonts w:cs="Arial"/>
          <w:szCs w:val="22"/>
        </w:rPr>
      </w:pPr>
      <w:hyperlink r:id="rId10" w:history="1">
        <w:r w:rsidR="00336444" w:rsidRPr="00C542F9">
          <w:rPr>
            <w:rStyle w:val="Hyperlink"/>
            <w:rFonts w:cs="Arial"/>
            <w:szCs w:val="22"/>
          </w:rPr>
          <w:t>Summary article on the AT equity studies work</w:t>
        </w:r>
      </w:hyperlink>
    </w:p>
    <w:p w14:paraId="2442882E" w14:textId="26D2439D" w:rsidR="00C542F9" w:rsidRPr="00C542F9" w:rsidRDefault="00C542F9" w:rsidP="00C542F9">
      <w:pPr>
        <w:rPr>
          <w:rFonts w:cs="Arial"/>
          <w:szCs w:val="22"/>
        </w:rPr>
      </w:pPr>
      <w:r w:rsidRPr="00C542F9">
        <w:rPr>
          <w:rFonts w:cs="Arial"/>
          <w:szCs w:val="22"/>
        </w:rPr>
        <w:t>Episode 3: How Do I Stay in My Home for Longer? Featuring A/Professor Libby Callaway</w:t>
      </w:r>
    </w:p>
    <w:p w14:paraId="4AF3C205" w14:textId="0975873C" w:rsidR="00336444" w:rsidRPr="00C542F9" w:rsidRDefault="00C542F9" w:rsidP="00C542F9">
      <w:pPr>
        <w:pStyle w:val="ListParagraph"/>
        <w:numPr>
          <w:ilvl w:val="0"/>
          <w:numId w:val="2"/>
        </w:numPr>
        <w:spacing w:before="0"/>
        <w:rPr>
          <w:rFonts w:cs="Arial"/>
          <w:szCs w:val="22"/>
        </w:rPr>
      </w:pPr>
      <w:hyperlink r:id="rId11" w:history="1">
        <w:r w:rsidR="00336444" w:rsidRPr="00C542F9">
          <w:rPr>
            <w:rStyle w:val="Hyperlink"/>
            <w:rFonts w:cs="Arial"/>
            <w:szCs w:val="22"/>
          </w:rPr>
          <w:t xml:space="preserve">I believe AT is a super power we can all harness. Here is an NCHA podcast </w:t>
        </w:r>
        <w:r w:rsidRPr="00C542F9">
          <w:rPr>
            <w:rStyle w:val="Hyperlink"/>
            <w:rFonts w:cs="Arial"/>
            <w:szCs w:val="22"/>
          </w:rPr>
          <w:t>Libby</w:t>
        </w:r>
        <w:r w:rsidR="00336444" w:rsidRPr="00C542F9">
          <w:rPr>
            <w:rStyle w:val="Hyperlink"/>
            <w:rFonts w:cs="Arial"/>
            <w:szCs w:val="22"/>
          </w:rPr>
          <w:t xml:space="preserve"> did recently focused on “How Do I Stay in My Home for Longer”</w:t>
        </w:r>
      </w:hyperlink>
    </w:p>
    <w:p w14:paraId="07FE5489" w14:textId="5EE80276" w:rsidR="00336444" w:rsidRPr="00C542F9" w:rsidRDefault="00336444" w:rsidP="00336444">
      <w:pPr>
        <w:spacing w:before="0"/>
        <w:ind w:left="0" w:firstLine="0"/>
        <w:rPr>
          <w:rFonts w:cs="Arial"/>
          <w:szCs w:val="22"/>
        </w:rPr>
      </w:pPr>
      <w:r w:rsidRPr="00C542F9">
        <w:rPr>
          <w:rFonts w:cs="Arial"/>
          <w:szCs w:val="22"/>
        </w:rPr>
        <w:t xml:space="preserve">The </w:t>
      </w:r>
      <w:hyperlink r:id="rId12" w:history="1">
        <w:r w:rsidRPr="00C542F9">
          <w:rPr>
            <w:rStyle w:val="Hyperlink"/>
            <w:rFonts w:cs="Arial"/>
            <w:szCs w:val="22"/>
          </w:rPr>
          <w:t>La Trobe Support for Decision Making Practice Framework</w:t>
        </w:r>
      </w:hyperlink>
      <w:r w:rsidRPr="00C542F9">
        <w:rPr>
          <w:rFonts w:cs="Arial"/>
          <w:szCs w:val="22"/>
        </w:rPr>
        <w:t xml:space="preserve"> by Chris Bigby and colleague</w:t>
      </w:r>
      <w:r w:rsidR="00C542F9" w:rsidRPr="00C542F9">
        <w:rPr>
          <w:rFonts w:cs="Arial"/>
          <w:szCs w:val="22"/>
        </w:rPr>
        <w:t>s</w:t>
      </w:r>
    </w:p>
    <w:p w14:paraId="65E4BEC8" w14:textId="6D6827A3" w:rsidR="00336444" w:rsidRPr="00C542F9" w:rsidRDefault="00C542F9" w:rsidP="00336444">
      <w:pPr>
        <w:spacing w:before="0"/>
        <w:ind w:left="0" w:firstLine="0"/>
        <w:rPr>
          <w:rFonts w:cs="Arial"/>
          <w:szCs w:val="22"/>
        </w:rPr>
      </w:pPr>
      <w:hyperlink r:id="rId13" w:history="1">
        <w:r w:rsidR="00336444" w:rsidRPr="00C542F9">
          <w:rPr>
            <w:rStyle w:val="Hyperlink"/>
            <w:rFonts w:cs="Arial"/>
            <w:szCs w:val="22"/>
          </w:rPr>
          <w:t>ARATA - Australian Rehabilitation and Assistive Technology Association</w:t>
        </w:r>
      </w:hyperlink>
    </w:p>
    <w:p w14:paraId="2E177710" w14:textId="2019D90E" w:rsidR="00336444" w:rsidRPr="00C542F9" w:rsidRDefault="00C542F9" w:rsidP="00336444">
      <w:pPr>
        <w:spacing w:before="0"/>
        <w:ind w:left="0" w:firstLine="0"/>
        <w:rPr>
          <w:rFonts w:cs="Arial"/>
          <w:szCs w:val="22"/>
        </w:rPr>
      </w:pPr>
      <w:hyperlink r:id="rId14" w:history="1">
        <w:r w:rsidR="00336444" w:rsidRPr="00C542F9">
          <w:rPr>
            <w:rStyle w:val="Hyperlink"/>
            <w:rFonts w:cs="Arial"/>
            <w:szCs w:val="22"/>
          </w:rPr>
          <w:t>The Make Decisions Real project</w:t>
        </w:r>
      </w:hyperlink>
      <w:r w:rsidR="00336444" w:rsidRPr="00C542F9">
        <w:rPr>
          <w:rFonts w:cs="Arial"/>
          <w:szCs w:val="22"/>
        </w:rPr>
        <w:t xml:space="preserve"> by Inclusion Australia - the peak body for people with an intellectual disability and their families</w:t>
      </w:r>
    </w:p>
    <w:p w14:paraId="69773036" w14:textId="74A9F6DF" w:rsidR="00336444" w:rsidRPr="00C542F9" w:rsidRDefault="00336444" w:rsidP="00336444">
      <w:pPr>
        <w:spacing w:before="0"/>
        <w:ind w:left="0" w:firstLine="0"/>
        <w:rPr>
          <w:rFonts w:cs="Arial"/>
          <w:szCs w:val="22"/>
        </w:rPr>
      </w:pPr>
      <w:r w:rsidRPr="00C542F9">
        <w:rPr>
          <w:rFonts w:cs="Arial"/>
          <w:szCs w:val="22"/>
        </w:rPr>
        <w:t xml:space="preserve">Here is the incredible </w:t>
      </w:r>
      <w:hyperlink r:id="rId15" w:history="1">
        <w:r w:rsidRPr="00C542F9">
          <w:rPr>
            <w:rStyle w:val="Hyperlink"/>
            <w:rFonts w:cs="Arial"/>
            <w:szCs w:val="22"/>
          </w:rPr>
          <w:t>network</w:t>
        </w:r>
      </w:hyperlink>
      <w:r w:rsidRPr="00C542F9">
        <w:rPr>
          <w:rFonts w:cs="Arial"/>
          <w:szCs w:val="22"/>
        </w:rPr>
        <w:t xml:space="preserve"> the wonderful Margaret Ward established (with input from many others including Jane!) </w:t>
      </w:r>
    </w:p>
    <w:p w14:paraId="55C513B6" w14:textId="5E48C752" w:rsidR="00336444" w:rsidRPr="00277CD4" w:rsidRDefault="00C542F9" w:rsidP="00277CD4">
      <w:pPr>
        <w:spacing w:before="0"/>
        <w:ind w:left="0" w:firstLine="0"/>
        <w:rPr>
          <w:rFonts w:cs="Arial"/>
          <w:szCs w:val="22"/>
        </w:rPr>
      </w:pPr>
      <w:r w:rsidRPr="00C542F9">
        <w:rPr>
          <w:rFonts w:cs="Arial"/>
          <w:szCs w:val="22"/>
        </w:rPr>
        <w:t>Resources from the Summer Foundation</w:t>
      </w:r>
    </w:p>
    <w:p w14:paraId="0F68AFF5" w14:textId="141DCE27" w:rsidR="00277CD4" w:rsidRDefault="00277CD4" w:rsidP="00C542F9">
      <w:pPr>
        <w:pStyle w:val="ListParagraph"/>
        <w:numPr>
          <w:ilvl w:val="0"/>
          <w:numId w:val="1"/>
        </w:numPr>
        <w:spacing w:before="0"/>
        <w:rPr>
          <w:rFonts w:cs="Arial"/>
          <w:szCs w:val="22"/>
        </w:rPr>
      </w:pPr>
      <w:hyperlink r:id="rId16" w:history="1">
        <w:r w:rsidRPr="00277CD4">
          <w:rPr>
            <w:rStyle w:val="Hyperlink"/>
            <w:rFonts w:cs="Arial"/>
            <w:szCs w:val="22"/>
          </w:rPr>
          <w:t>What w</w:t>
        </w:r>
        <w:r w:rsidRPr="00277CD4">
          <w:rPr>
            <w:rStyle w:val="Hyperlink"/>
            <w:rFonts w:cs="Arial"/>
            <w:szCs w:val="22"/>
          </w:rPr>
          <w:t>e</w:t>
        </w:r>
        <w:r w:rsidRPr="00277CD4">
          <w:rPr>
            <w:rStyle w:val="Hyperlink"/>
            <w:rFonts w:cs="Arial"/>
            <w:szCs w:val="22"/>
          </w:rPr>
          <w:t xml:space="preserve"> do</w:t>
        </w:r>
      </w:hyperlink>
    </w:p>
    <w:p w14:paraId="163D2F9E" w14:textId="65BE1BEB" w:rsidR="00277CD4" w:rsidRPr="00C542F9" w:rsidRDefault="00277CD4" w:rsidP="00C542F9">
      <w:pPr>
        <w:pStyle w:val="ListParagraph"/>
        <w:numPr>
          <w:ilvl w:val="0"/>
          <w:numId w:val="1"/>
        </w:numPr>
        <w:spacing w:before="0"/>
        <w:rPr>
          <w:rFonts w:cs="Arial"/>
          <w:szCs w:val="22"/>
        </w:rPr>
      </w:pPr>
      <w:hyperlink r:id="rId17" w:history="1">
        <w:r w:rsidRPr="00277CD4">
          <w:rPr>
            <w:rStyle w:val="Hyperlink"/>
            <w:rFonts w:cs="Arial"/>
            <w:szCs w:val="22"/>
          </w:rPr>
          <w:t>Joining the campaign</w:t>
        </w:r>
      </w:hyperlink>
    </w:p>
    <w:p w14:paraId="760A5E13" w14:textId="77777777" w:rsidR="00277CD4" w:rsidRPr="00277CD4" w:rsidRDefault="00277CD4" w:rsidP="00277CD4">
      <w:pPr>
        <w:pStyle w:val="ListParagraph"/>
        <w:numPr>
          <w:ilvl w:val="0"/>
          <w:numId w:val="1"/>
        </w:numPr>
        <w:rPr>
          <w:rFonts w:cs="Arial"/>
          <w:szCs w:val="22"/>
          <w:lang w:val="en-AU" w:eastAsia="en-GB"/>
        </w:rPr>
      </w:pPr>
      <w:hyperlink r:id="rId18" w:history="1">
        <w:r w:rsidRPr="00277CD4">
          <w:rPr>
            <w:rStyle w:val="Hyperlink"/>
            <w:rFonts w:cs="Arial"/>
            <w:szCs w:val="22"/>
            <w:lang w:val="en-AU" w:eastAsia="en-GB"/>
          </w:rPr>
          <w:t>The Housing Toolkit | Summer Foundation</w:t>
        </w:r>
      </w:hyperlink>
    </w:p>
    <w:p w14:paraId="1597A7BB" w14:textId="77777777" w:rsidR="00277CD4" w:rsidRPr="00C542F9" w:rsidRDefault="00277CD4" w:rsidP="00277CD4">
      <w:pPr>
        <w:pStyle w:val="ListParagraph"/>
        <w:spacing w:before="0"/>
        <w:ind w:firstLine="0"/>
        <w:rPr>
          <w:rFonts w:cs="Arial"/>
          <w:szCs w:val="22"/>
        </w:rPr>
      </w:pPr>
    </w:p>
    <w:p w14:paraId="636679E6" w14:textId="77777777" w:rsidR="00C542F9" w:rsidRPr="00C542F9" w:rsidRDefault="00C542F9" w:rsidP="00336444">
      <w:pPr>
        <w:spacing w:before="0"/>
        <w:ind w:left="0" w:firstLine="0"/>
        <w:rPr>
          <w:rFonts w:cs="Arial"/>
          <w:szCs w:val="22"/>
        </w:rPr>
      </w:pPr>
    </w:p>
    <w:sectPr w:rsidR="00C542F9" w:rsidRPr="00C542F9">
      <w:footerReference w:type="even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2DC3AF" w14:textId="77777777" w:rsidR="00122D50" w:rsidRDefault="00122D50" w:rsidP="00277CD4">
      <w:pPr>
        <w:spacing w:before="0" w:after="0"/>
      </w:pPr>
      <w:r>
        <w:separator/>
      </w:r>
    </w:p>
  </w:endnote>
  <w:endnote w:type="continuationSeparator" w:id="0">
    <w:p w14:paraId="5A022845" w14:textId="77777777" w:rsidR="00122D50" w:rsidRDefault="00122D50" w:rsidP="00277C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25244103"/>
      <w:docPartObj>
        <w:docPartGallery w:val="Page Numbers (Bottom of Page)"/>
        <w:docPartUnique/>
      </w:docPartObj>
    </w:sdtPr>
    <w:sdtContent>
      <w:p w14:paraId="3CA1F678" w14:textId="40DF3930" w:rsidR="00277CD4" w:rsidRDefault="00277CD4" w:rsidP="00EE3D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E934F8" w14:textId="77777777" w:rsidR="00277CD4" w:rsidRDefault="00277CD4" w:rsidP="00277C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00B0F0"/>
        <w:sz w:val="20"/>
        <w:szCs w:val="20"/>
      </w:rPr>
      <w:id w:val="-179425474"/>
      <w:docPartObj>
        <w:docPartGallery w:val="Page Numbers (Bottom of Page)"/>
        <w:docPartUnique/>
      </w:docPartObj>
    </w:sdtPr>
    <w:sdtContent>
      <w:p w14:paraId="0B98BE36" w14:textId="5C900579" w:rsidR="00277CD4" w:rsidRPr="00277CD4" w:rsidRDefault="00277CD4" w:rsidP="00277CD4">
        <w:pPr>
          <w:pStyle w:val="Footer"/>
          <w:framePr w:wrap="none" w:vAnchor="text" w:hAnchor="page" w:x="10311" w:y="12"/>
          <w:rPr>
            <w:rStyle w:val="PageNumber"/>
            <w:color w:val="00B0F0"/>
            <w:sz w:val="20"/>
            <w:szCs w:val="20"/>
          </w:rPr>
        </w:pPr>
        <w:r w:rsidRPr="00277CD4">
          <w:rPr>
            <w:rStyle w:val="PageNumber"/>
            <w:color w:val="00B0F0"/>
            <w:sz w:val="20"/>
            <w:szCs w:val="20"/>
          </w:rPr>
          <w:fldChar w:fldCharType="begin"/>
        </w:r>
        <w:r w:rsidRPr="00277CD4">
          <w:rPr>
            <w:rStyle w:val="PageNumber"/>
            <w:color w:val="00B0F0"/>
            <w:sz w:val="20"/>
            <w:szCs w:val="20"/>
          </w:rPr>
          <w:instrText xml:space="preserve"> PAGE </w:instrText>
        </w:r>
        <w:r w:rsidRPr="00277CD4">
          <w:rPr>
            <w:rStyle w:val="PageNumber"/>
            <w:color w:val="00B0F0"/>
            <w:sz w:val="20"/>
            <w:szCs w:val="20"/>
          </w:rPr>
          <w:fldChar w:fldCharType="separate"/>
        </w:r>
        <w:r w:rsidRPr="00277CD4">
          <w:rPr>
            <w:rStyle w:val="PageNumber"/>
            <w:noProof/>
            <w:color w:val="00B0F0"/>
            <w:sz w:val="20"/>
            <w:szCs w:val="20"/>
          </w:rPr>
          <w:t>1</w:t>
        </w:r>
        <w:r w:rsidRPr="00277CD4">
          <w:rPr>
            <w:rStyle w:val="PageNumber"/>
            <w:color w:val="00B0F0"/>
            <w:sz w:val="20"/>
            <w:szCs w:val="20"/>
          </w:rPr>
          <w:fldChar w:fldCharType="end"/>
        </w:r>
      </w:p>
    </w:sdtContent>
  </w:sdt>
  <w:p w14:paraId="1E9376F1" w14:textId="77777777" w:rsidR="00277CD4" w:rsidRPr="00277CD4" w:rsidRDefault="00277CD4" w:rsidP="00277CD4">
    <w:pPr>
      <w:spacing w:before="0"/>
      <w:ind w:left="0" w:firstLine="0"/>
      <w:rPr>
        <w:color w:val="00B0F0"/>
        <w:sz w:val="20"/>
        <w:szCs w:val="20"/>
      </w:rPr>
    </w:pPr>
    <w:r w:rsidRPr="00277CD4">
      <w:rPr>
        <w:color w:val="00B0F0"/>
        <w:sz w:val="20"/>
        <w:szCs w:val="20"/>
      </w:rPr>
      <w:t>Better Housing, By Design</w:t>
    </w:r>
  </w:p>
  <w:p w14:paraId="3B461B79" w14:textId="77777777" w:rsidR="00277CD4" w:rsidRDefault="00277CD4" w:rsidP="00277C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89FDE" w14:textId="77777777" w:rsidR="00122D50" w:rsidRDefault="00122D50" w:rsidP="00277CD4">
      <w:pPr>
        <w:spacing w:before="0" w:after="0"/>
      </w:pPr>
      <w:r>
        <w:separator/>
      </w:r>
    </w:p>
  </w:footnote>
  <w:footnote w:type="continuationSeparator" w:id="0">
    <w:p w14:paraId="4A0B8D63" w14:textId="77777777" w:rsidR="00122D50" w:rsidRDefault="00122D50" w:rsidP="00277CD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1459C8"/>
    <w:multiLevelType w:val="hybridMultilevel"/>
    <w:tmpl w:val="4888E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D56D8"/>
    <w:multiLevelType w:val="hybridMultilevel"/>
    <w:tmpl w:val="7130A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09489">
    <w:abstractNumId w:val="0"/>
  </w:num>
  <w:num w:numId="2" w16cid:durableId="18527207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44"/>
    <w:rsid w:val="0004641D"/>
    <w:rsid w:val="000800D6"/>
    <w:rsid w:val="000957A9"/>
    <w:rsid w:val="000C0ABB"/>
    <w:rsid w:val="0012215B"/>
    <w:rsid w:val="00122D50"/>
    <w:rsid w:val="001461E9"/>
    <w:rsid w:val="00192485"/>
    <w:rsid w:val="001A0C8C"/>
    <w:rsid w:val="001A47B7"/>
    <w:rsid w:val="001C2AF9"/>
    <w:rsid w:val="00211139"/>
    <w:rsid w:val="0022078F"/>
    <w:rsid w:val="00272FB4"/>
    <w:rsid w:val="00277CD4"/>
    <w:rsid w:val="002D36E3"/>
    <w:rsid w:val="00336444"/>
    <w:rsid w:val="003D6607"/>
    <w:rsid w:val="00420469"/>
    <w:rsid w:val="00434335"/>
    <w:rsid w:val="00453545"/>
    <w:rsid w:val="00472021"/>
    <w:rsid w:val="00494A72"/>
    <w:rsid w:val="004C7CCC"/>
    <w:rsid w:val="004D795A"/>
    <w:rsid w:val="00505C2E"/>
    <w:rsid w:val="00512DE5"/>
    <w:rsid w:val="00567A66"/>
    <w:rsid w:val="005F1425"/>
    <w:rsid w:val="00650B52"/>
    <w:rsid w:val="00661DE4"/>
    <w:rsid w:val="006A6541"/>
    <w:rsid w:val="006B6A85"/>
    <w:rsid w:val="007065F5"/>
    <w:rsid w:val="007568F6"/>
    <w:rsid w:val="00761651"/>
    <w:rsid w:val="00792630"/>
    <w:rsid w:val="008468F4"/>
    <w:rsid w:val="008E055D"/>
    <w:rsid w:val="009527A5"/>
    <w:rsid w:val="00997384"/>
    <w:rsid w:val="009F136C"/>
    <w:rsid w:val="00A53B40"/>
    <w:rsid w:val="00B379F3"/>
    <w:rsid w:val="00BA27DD"/>
    <w:rsid w:val="00BD46F6"/>
    <w:rsid w:val="00C542F9"/>
    <w:rsid w:val="00CD2DD5"/>
    <w:rsid w:val="00D61F72"/>
    <w:rsid w:val="00E1188A"/>
    <w:rsid w:val="00F71521"/>
    <w:rsid w:val="00F90882"/>
    <w:rsid w:val="00FB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705057"/>
  <w15:chartTrackingRefBased/>
  <w15:docId w15:val="{6531A61E-47FD-2F46-B976-E9D06E2A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F72"/>
    <w:pPr>
      <w:spacing w:before="120" w:after="120"/>
      <w:ind w:left="360" w:hanging="360"/>
    </w:pPr>
    <w:rPr>
      <w:rFonts w:ascii="Arial" w:eastAsiaTheme="minorEastAsia" w:hAnsi="Arial"/>
      <w:sz w:val="22"/>
      <w:szCs w:val="21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20469"/>
    <w:pPr>
      <w:keepNext/>
      <w:keepLines/>
      <w:spacing w:before="360" w:after="80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4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4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4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4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4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44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44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er">
    <w:name w:val="Section Header"/>
    <w:basedOn w:val="Normal"/>
    <w:qFormat/>
    <w:rsid w:val="007568F6"/>
    <w:pPr>
      <w:spacing w:line="360" w:lineRule="auto"/>
    </w:pPr>
    <w:rPr>
      <w:b/>
      <w:color w:val="0E2841" w:themeColor="text2"/>
      <w:kern w:val="0"/>
      <w:sz w:val="3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2046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3644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44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444"/>
    <w:rPr>
      <w:rFonts w:eastAsiaTheme="majorEastAsia" w:cstheme="majorBidi"/>
      <w:i/>
      <w:iCs/>
      <w:color w:val="0F4761" w:themeColor="accent1" w:themeShade="BF"/>
      <w:sz w:val="22"/>
      <w:szCs w:val="2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444"/>
    <w:rPr>
      <w:rFonts w:eastAsiaTheme="majorEastAsia" w:cstheme="majorBidi"/>
      <w:color w:val="0F4761" w:themeColor="accent1" w:themeShade="BF"/>
      <w:sz w:val="22"/>
      <w:szCs w:val="2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444"/>
    <w:rPr>
      <w:rFonts w:eastAsiaTheme="majorEastAsia" w:cstheme="majorBidi"/>
      <w:i/>
      <w:iCs/>
      <w:color w:val="595959" w:themeColor="text1" w:themeTint="A6"/>
      <w:sz w:val="22"/>
      <w:szCs w:val="21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444"/>
    <w:rPr>
      <w:rFonts w:eastAsiaTheme="majorEastAsia" w:cstheme="majorBidi"/>
      <w:color w:val="595959" w:themeColor="text1" w:themeTint="A6"/>
      <w:sz w:val="22"/>
      <w:szCs w:val="21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444"/>
    <w:rPr>
      <w:rFonts w:eastAsiaTheme="majorEastAsia" w:cstheme="majorBidi"/>
      <w:i/>
      <w:iCs/>
      <w:color w:val="272727" w:themeColor="text1" w:themeTint="D8"/>
      <w:sz w:val="22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444"/>
    <w:rPr>
      <w:rFonts w:eastAsiaTheme="majorEastAsia" w:cstheme="majorBidi"/>
      <w:color w:val="272727" w:themeColor="text1" w:themeTint="D8"/>
      <w:sz w:val="22"/>
      <w:szCs w:val="2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3644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44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444"/>
    <w:pPr>
      <w:numPr>
        <w:ilvl w:val="1"/>
      </w:numPr>
      <w:spacing w:after="160"/>
      <w:ind w:left="36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44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364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444"/>
    <w:rPr>
      <w:rFonts w:ascii="Arial" w:eastAsiaTheme="minorEastAsia" w:hAnsi="Arial"/>
      <w:i/>
      <w:iCs/>
      <w:color w:val="404040" w:themeColor="text1" w:themeTint="BF"/>
      <w:sz w:val="22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336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444"/>
    <w:rPr>
      <w:rFonts w:ascii="Arial" w:eastAsiaTheme="minorEastAsia" w:hAnsi="Arial"/>
      <w:i/>
      <w:iCs/>
      <w:color w:val="0F4761" w:themeColor="accent1" w:themeShade="BF"/>
      <w:sz w:val="22"/>
      <w:szCs w:val="21"/>
      <w:lang w:val="en-US"/>
    </w:rPr>
  </w:style>
  <w:style w:type="character" w:styleId="IntenseReference">
    <w:name w:val="Intense Reference"/>
    <w:basedOn w:val="DefaultParagraphFont"/>
    <w:uiPriority w:val="32"/>
    <w:qFormat/>
    <w:rsid w:val="003364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64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4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2F9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77CD4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77CD4"/>
    <w:rPr>
      <w:rFonts w:ascii="Arial" w:eastAsiaTheme="minorEastAsia" w:hAnsi="Arial"/>
      <w:sz w:val="22"/>
      <w:szCs w:val="21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77CD4"/>
  </w:style>
  <w:style w:type="paragraph" w:styleId="Header">
    <w:name w:val="header"/>
    <w:basedOn w:val="Normal"/>
    <w:link w:val="HeaderChar"/>
    <w:uiPriority w:val="99"/>
    <w:unhideWhenUsed/>
    <w:rsid w:val="00277CD4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77CD4"/>
    <w:rPr>
      <w:rFonts w:ascii="Arial" w:eastAsiaTheme="minorEastAsia" w:hAnsi="Arial"/>
      <w:sz w:val="22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huri.edu.au/research/final-reports/462" TargetMode="External"/><Relationship Id="rId13" Type="http://schemas.openxmlformats.org/officeDocument/2006/relationships/hyperlink" Target="https://www.arata.org.au/" TargetMode="External"/><Relationship Id="rId18" Type="http://schemas.openxmlformats.org/officeDocument/2006/relationships/hyperlink" Target="https://individualisedliving.com.au/resource/housing-toolk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isability.unimelb.edu.au/centre-for-universal-design-australia" TargetMode="External"/><Relationship Id="rId12" Type="http://schemas.openxmlformats.org/officeDocument/2006/relationships/hyperlink" Target="https://www.supportfordecisionmaking.com.au/" TargetMode="External"/><Relationship Id="rId17" Type="http://schemas.openxmlformats.org/officeDocument/2006/relationships/hyperlink" Target="&#8226;%09https:/buildingbetterhomes.org.au/joining-the-campaig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ummerfoundation.org.au/what-we-do/building-better-homes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dfWuaEBoCX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nuhd.org/" TargetMode="External"/><Relationship Id="rId10" Type="http://schemas.openxmlformats.org/officeDocument/2006/relationships/hyperlink" Target="https://onlinelibrary.wiley.com/doi/full/10.1002/ajs4.29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esearch.monash.edu/en/publications/the-australian-assistive-technology-equity-studies-improving-acce/" TargetMode="External"/><Relationship Id="rId14" Type="http://schemas.openxmlformats.org/officeDocument/2006/relationships/hyperlink" Target="https://www.inclusionaustralia.org.au/project/make-decisions-real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Donaldson</dc:creator>
  <cp:keywords/>
  <dc:description/>
  <cp:lastModifiedBy>Sara Donaldson</cp:lastModifiedBy>
  <cp:revision>2</cp:revision>
  <dcterms:created xsi:type="dcterms:W3CDTF">2026-10-13T05:17:00Z</dcterms:created>
  <dcterms:modified xsi:type="dcterms:W3CDTF">2026-10-23T00:44:00Z</dcterms:modified>
</cp:coreProperties>
</file>